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jc w:val="center"/>
      </w:pPr>
      <w:r>
        <w:rPr>
          <w:rFonts w:ascii="Arial" w:cs="Arial" w:hAnsi="Arial"/>
          <w:b/>
          <w:sz w:val="22"/>
          <w:szCs w:val="22"/>
        </w:rPr>
        <w:t>Minutes of Gypsy &amp; Traveller Strategy Group</w:t>
      </w:r>
    </w:p>
    <w:p>
      <w:pPr>
        <w:pStyle w:val="style30"/>
        <w:jc w:val="center"/>
      </w:pPr>
      <w:r>
        <w:rPr>
          <w:rFonts w:ascii="Arial" w:cs="Arial" w:hAnsi="Arial"/>
          <w:b/>
          <w:sz w:val="22"/>
          <w:szCs w:val="22"/>
        </w:rPr>
      </w:r>
    </w:p>
    <w:p>
      <w:pPr>
        <w:pStyle w:val="style30"/>
        <w:jc w:val="center"/>
      </w:pPr>
      <w:r>
        <w:rPr>
          <w:rFonts w:ascii="Arial" w:cs="Arial" w:hAnsi="Arial"/>
          <w:b/>
          <w:sz w:val="22"/>
          <w:szCs w:val="22"/>
        </w:rPr>
        <w:t>Monday 5</w:t>
      </w:r>
      <w:r>
        <w:rPr>
          <w:rFonts w:ascii="Arial" w:cs="Arial" w:hAnsi="Arial"/>
          <w:b/>
          <w:sz w:val="22"/>
          <w:szCs w:val="22"/>
          <w:vertAlign w:val="superscript"/>
        </w:rPr>
        <w:t>th</w:t>
      </w:r>
      <w:r>
        <w:rPr>
          <w:rFonts w:ascii="Arial" w:cs="Arial" w:hAnsi="Arial"/>
          <w:b/>
          <w:sz w:val="22"/>
          <w:szCs w:val="22"/>
        </w:rPr>
        <w:t xml:space="preserve"> September 2011, County Hall, CR8</w:t>
      </w:r>
    </w:p>
    <w:p>
      <w:pPr>
        <w:pStyle w:val="style0"/>
        <w:jc w:val="center"/>
      </w:pPr>
      <w:r>
        <w:rPr>
          <w:rFonts w:ascii="Arial" w:cs="Arial" w:hAnsi="Arial"/>
          <w:b/>
          <w:sz w:val="22"/>
          <w:szCs w:val="22"/>
        </w:rPr>
      </w:r>
    </w:p>
    <w:p>
      <w:pPr>
        <w:pStyle w:val="style0"/>
        <w:jc w:val="center"/>
      </w:pPr>
      <w:r>
        <w:rPr>
          <w:rFonts w:ascii="Arial" w:cs="Arial" w:hAnsi="Arial"/>
        </w:rPr>
      </w:r>
    </w:p>
    <w:p>
      <w:pPr>
        <w:pStyle w:val="style0"/>
      </w:pPr>
      <w:r>
        <w:rPr>
          <w:rFonts w:ascii="Arial" w:cs="Arial" w:hAnsi="Arial"/>
          <w:b/>
        </w:rPr>
        <w:t>Present:</w:t>
      </w:r>
    </w:p>
    <w:tbl>
      <w:tblPr>
        <w:jc w:val="left"/>
        <w:tblBorders/>
        <w:tblInd w:type="dxa" w:w="-108"/>
      </w:tblPr>
      <w:tblGrid>
        <w:gridCol w:w="3347"/>
        <w:gridCol w:w="5174"/>
      </w:tblGrid>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Niki Lewis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Service Director, Communities, Libraries, Heritage &amp; Arts</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Kamalita Kinshasa</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(Minuting) Equality &amp; Inclusion Officer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Sharon Brookes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Lead Officer, Equality &amp; Inclusion</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Estelle Sherry</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Principal Auditor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Graham Hogg</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Service Director, Housing</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Ken Oliver</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Canal Officer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Paul Harris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Principal Highways Enforcement Officer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Jason Morris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TLO (south)</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Andy Mullings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Highways Enforcement Officer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Sudave Ghuman</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Principal Litigation Solicitor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Mike Davies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Senior Traveller Liaison Officer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Carolyn Gibson</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Principle Planning Officer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Sarah Hartley</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Performance &amp; Research Officer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Wendy Atkinson</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Teacher, Traveller Education Service</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Nicole Powell</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Lead Professional, Traveller Education Service</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Nicole Smith</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Head of Housing Strategy &amp; Support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Toby Sturgis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Cllr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Daniel Tyrrell</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 xml:space="preserve">Planning Compliance Officer </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Linda Diamond</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Equality Officer Housing</w:t>
            </w:r>
          </w:p>
        </w:tc>
      </w:tr>
    </w:tbl>
    <w:p>
      <w:pPr>
        <w:pStyle w:val="style0"/>
      </w:pPr>
      <w:r>
        <w:rPr>
          <w:rFonts w:ascii="Arial" w:cs="Arial" w:hAnsi="Arial"/>
        </w:rPr>
      </w:r>
    </w:p>
    <w:p>
      <w:pPr>
        <w:pStyle w:val="style0"/>
      </w:pPr>
      <w:r>
        <w:rPr>
          <w:rFonts w:ascii="Arial" w:cs="Arial" w:hAnsi="Arial"/>
          <w:b/>
        </w:rPr>
        <w:t>Apologies:</w:t>
      </w:r>
    </w:p>
    <w:tbl>
      <w:tblPr>
        <w:jc w:val="left"/>
        <w:tblBorders/>
        <w:tblInd w:type="dxa" w:w="-108"/>
      </w:tblPr>
      <w:tblGrid>
        <w:gridCol w:w="3347"/>
        <w:gridCol w:w="5174"/>
      </w:tblGrid>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Aileen Fenlon</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ASB Reduction Officer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Amanda Smith</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Manager, Homes4Wiltshire</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John Vaughan</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Senior Internal Auditor</w:t>
            </w:r>
          </w:p>
        </w:tc>
      </w:tr>
      <w:tr>
        <w:trPr>
          <w:cantSplit w:val="false"/>
        </w:trPr>
        <w:tc>
          <w:tcPr>
            <w:tcW w:type="dxa" w:w="3347"/>
            <w:tcBorders/>
            <w:shd w:fill="auto" w:val="clear"/>
            <w:tcMar>
              <w:top w:type="dxa" w:w="0"/>
              <w:left w:type="dxa" w:w="108"/>
              <w:bottom w:type="dxa" w:w="0"/>
              <w:right w:type="dxa" w:w="108"/>
            </w:tcMar>
          </w:tcPr>
          <w:p>
            <w:pPr>
              <w:pStyle w:val="style0"/>
            </w:pPr>
            <w:r>
              <w:rPr>
                <w:rFonts w:ascii="Arial" w:cs="Arial" w:hAnsi="Arial"/>
                <w:sz w:val="22"/>
                <w:szCs w:val="22"/>
              </w:rPr>
              <w:t>Angie Rawlins</w:t>
            </w:r>
          </w:p>
        </w:tc>
        <w:tc>
          <w:tcPr>
            <w:tcW w:type="dxa" w:w="5174"/>
            <w:tcBorders/>
            <w:shd w:fill="auto" w:val="clear"/>
            <w:tcMar>
              <w:top w:type="dxa" w:w="0"/>
              <w:left w:type="dxa" w:w="108"/>
              <w:bottom w:type="dxa" w:w="0"/>
              <w:right w:type="dxa" w:w="108"/>
            </w:tcMar>
          </w:tcPr>
          <w:p>
            <w:pPr>
              <w:pStyle w:val="style0"/>
            </w:pPr>
            <w:r>
              <w:rPr>
                <w:rFonts w:ascii="Arial" w:cs="Arial" w:hAnsi="Arial"/>
                <w:sz w:val="22"/>
                <w:szCs w:val="22"/>
              </w:rPr>
              <w:t>Head of Allocations &amp; Options</w:t>
            </w:r>
          </w:p>
        </w:tc>
      </w:tr>
    </w:tbl>
    <w:p>
      <w:pPr>
        <w:pStyle w:val="style0"/>
      </w:pPr>
      <w:r>
        <w:rPr>
          <w:rFonts w:ascii="Arial" w:cs="Arial" w:hAnsi="Arial"/>
        </w:rPr>
      </w:r>
    </w:p>
    <w:tbl>
      <w:tblPr>
        <w:jc w:val="left"/>
        <w:tblBorders/>
        <w:tblInd w:type="dxa" w:w="-108"/>
      </w:tblPr>
      <w:tblGrid>
        <w:gridCol w:w="467"/>
        <w:gridCol w:w="6994"/>
        <w:gridCol w:w="2392"/>
      </w:tblGrid>
      <w:tr>
        <w:trPr>
          <w:tblHeader w:val="true"/>
          <w:cantSplit w:val="false"/>
        </w:trPr>
        <w:tc>
          <w:tcPr>
            <w:tcW w:type="dxa" w:w="467"/>
            <w:tcBorders/>
            <w:shd w:fill="auto" w:val="clear"/>
            <w:tcMar>
              <w:top w:type="dxa" w:w="0"/>
              <w:left w:type="dxa" w:w="108"/>
              <w:bottom w:type="dxa" w:w="0"/>
              <w:right w:type="dxa" w:w="108"/>
            </w:tcMar>
          </w:tcPr>
          <w:p>
            <w:pPr>
              <w:pStyle w:val="style0"/>
            </w:pPr>
            <w:r>
              <w:rPr>
                <w:rFonts w:ascii="Arial" w:cs="Arial" w:hAnsi="Arial"/>
              </w:rPr>
            </w:r>
          </w:p>
        </w:tc>
        <w:tc>
          <w:tcPr>
            <w:tcW w:type="dxa" w:w="6994"/>
            <w:tcBorders/>
            <w:shd w:fill="auto" w:val="clear"/>
            <w:tcMar>
              <w:top w:type="dxa" w:w="0"/>
              <w:left w:type="dxa" w:w="108"/>
              <w:bottom w:type="dxa" w:w="0"/>
              <w:right w:type="dxa" w:w="108"/>
            </w:tcMar>
          </w:tcPr>
          <w:p>
            <w:pPr>
              <w:pStyle w:val="style0"/>
            </w:pPr>
            <w:r>
              <w:rPr>
                <w:rFonts w:ascii="Arial" w:cs="Arial" w:hAnsi="Arial"/>
              </w:rPr>
              <w:t>Item/notes</w:t>
            </w:r>
          </w:p>
        </w:tc>
        <w:tc>
          <w:tcPr>
            <w:tcW w:type="dxa" w:w="2392"/>
            <w:tcBorders/>
            <w:shd w:fill="auto" w:val="clear"/>
            <w:tcMar>
              <w:top w:type="dxa" w:w="0"/>
              <w:left w:type="dxa" w:w="108"/>
              <w:bottom w:type="dxa" w:w="0"/>
              <w:right w:type="dxa" w:w="108"/>
            </w:tcMar>
          </w:tcPr>
          <w:p>
            <w:pPr>
              <w:pStyle w:val="style0"/>
            </w:pPr>
            <w:r>
              <w:rPr>
                <w:rFonts w:ascii="Arial" w:cs="Arial" w:hAnsi="Arial"/>
              </w:rPr>
              <w:t>Actions</w:t>
            </w:r>
          </w:p>
        </w:tc>
      </w:tr>
      <w:tr>
        <w:trPr>
          <w:cantSplit w:val="false"/>
        </w:trPr>
        <w:tc>
          <w:tcPr>
            <w:tcW w:type="dxa" w:w="467"/>
            <w:tcBorders/>
            <w:shd w:fill="auto" w:val="clear"/>
            <w:tcMar>
              <w:top w:type="dxa" w:w="0"/>
              <w:left w:type="dxa" w:w="108"/>
              <w:bottom w:type="dxa" w:w="0"/>
              <w:right w:type="dxa" w:w="108"/>
            </w:tcMar>
          </w:tcPr>
          <w:p>
            <w:pPr>
              <w:pStyle w:val="style0"/>
            </w:pPr>
            <w:r>
              <w:rPr>
                <w:rFonts w:ascii="Arial" w:cs="Arial" w:hAnsi="Arial"/>
              </w:rPr>
              <w:t>1.</w:t>
            </w:r>
          </w:p>
        </w:tc>
        <w:tc>
          <w:tcPr>
            <w:tcW w:type="dxa" w:w="6994"/>
            <w:tcBorders/>
            <w:shd w:fill="auto" w:val="clear"/>
            <w:tcMar>
              <w:top w:type="dxa" w:w="0"/>
              <w:left w:type="dxa" w:w="108"/>
              <w:bottom w:type="dxa" w:w="0"/>
              <w:right w:type="dxa" w:w="108"/>
            </w:tcMar>
          </w:tcPr>
          <w:p>
            <w:pPr>
              <w:pStyle w:val="style0"/>
            </w:pPr>
            <w:r>
              <w:rPr>
                <w:rFonts w:ascii="Arial" w:cs="Arial" w:hAnsi="Arial"/>
                <w:b/>
              </w:rPr>
              <w:t xml:space="preserve">Welcome </w:t>
            </w:r>
          </w:p>
          <w:p>
            <w:pPr>
              <w:pStyle w:val="style0"/>
            </w:pPr>
            <w:r>
              <w:rPr>
                <w:rFonts w:ascii="Arial" w:cs="Arial" w:hAnsi="Arial"/>
                <w:sz w:val="22"/>
                <w:szCs w:val="22"/>
              </w:rPr>
              <w:t>NL welcomed the group and outlined her role as coordinator of the implementation of the GRT Strategy action plan.  Apologies were given for the delay in reconvening the group as the group last met 12</w:t>
            </w:r>
            <w:r>
              <w:rPr>
                <w:rFonts w:ascii="Arial" w:cs="Arial" w:hAnsi="Arial"/>
                <w:sz w:val="22"/>
                <w:szCs w:val="22"/>
                <w:vertAlign w:val="superscript"/>
              </w:rPr>
              <w:t>th</w:t>
            </w:r>
            <w:r>
              <w:rPr>
                <w:rFonts w:ascii="Arial" w:cs="Arial" w:hAnsi="Arial"/>
                <w:sz w:val="22"/>
                <w:szCs w:val="22"/>
              </w:rPr>
              <w:t xml:space="preserve"> Oct 2010.   </w:t>
            </w:r>
          </w:p>
          <w:p>
            <w:pPr>
              <w:pStyle w:val="style0"/>
            </w:pPr>
            <w:r>
              <w:rPr>
                <w:rFonts w:ascii="Arial" w:cs="Arial" w:hAnsi="Arial"/>
                <w:sz w:val="22"/>
                <w:szCs w:val="22"/>
              </w:rPr>
            </w:r>
          </w:p>
          <w:p>
            <w:pPr>
              <w:pStyle w:val="style0"/>
            </w:pPr>
            <w:r>
              <w:rPr>
                <w:rFonts w:ascii="Arial" w:cs="Arial" w:hAnsi="Arial"/>
                <w:sz w:val="22"/>
                <w:szCs w:val="22"/>
              </w:rPr>
              <w:t xml:space="preserve">NL explained the aim of today’s meeting is to look at the  findings from the recent Housing quality audit and the internal Audit of Traveller Services to ensure any recommendations are fed into the GRT action plan. </w:t>
            </w:r>
          </w:p>
          <w:p>
            <w:pPr>
              <w:pStyle w:val="style0"/>
            </w:pPr>
            <w:r>
              <w:rPr>
                <w:rFonts w:ascii="Arial" w:cs="Arial" w:hAnsi="Arial"/>
                <w:sz w:val="22"/>
                <w:szCs w:val="22"/>
              </w:rPr>
            </w:r>
          </w:p>
          <w:p>
            <w:pPr>
              <w:pStyle w:val="style0"/>
            </w:pPr>
            <w:r>
              <w:rPr>
                <w:rFonts w:ascii="Arial" w:cs="Arial" w:hAnsi="Arial"/>
                <w:sz w:val="22"/>
                <w:szCs w:val="22"/>
              </w:rPr>
              <w:t>NL also informed the group regarding a new report entitled “The big or divided society” which may be relevant in terms of the needs of GRT communities and could therefore inform our work.</w:t>
            </w:r>
          </w:p>
          <w:p>
            <w:pPr>
              <w:pStyle w:val="style0"/>
            </w:pPr>
            <w:r>
              <w:rPr>
                <w:rFonts w:ascii="Arial" w:cs="Arial" w:hAnsi="Arial"/>
                <w:sz w:val="22"/>
                <w:szCs w:val="22"/>
              </w:rPr>
            </w:r>
          </w:p>
        </w:tc>
        <w:tc>
          <w:tcPr>
            <w:tcW w:type="dxa" w:w="2392"/>
            <w:tcBorders/>
            <w:shd w:fill="auto" w:val="clear"/>
            <w:tcMar>
              <w:top w:type="dxa" w:w="0"/>
              <w:left w:type="dxa" w:w="108"/>
              <w:bottom w:type="dxa" w:w="0"/>
              <w:right w:type="dxa" w:w="108"/>
            </w:tcMar>
          </w:tcPr>
          <w:p>
            <w:pPr>
              <w:pStyle w:val="style0"/>
            </w:pPr>
            <w:r>
              <w:rPr>
                <w:rFonts w:ascii="Arial" w:cs="Arial" w:hAnsi="Arial"/>
                <w:sz w:val="22"/>
                <w:szCs w:val="22"/>
              </w:rPr>
            </w:r>
          </w:p>
          <w:p>
            <w:pPr>
              <w:pStyle w:val="style0"/>
            </w:pPr>
            <w:r>
              <w:rPr>
                <w:rFonts w:ascii="Arial" w:cs="Arial" w:hAnsi="Arial"/>
                <w:sz w:val="22"/>
                <w:szCs w:val="22"/>
              </w:rPr>
              <w:t>NL’s team to produce a draft revised action plan for discussion at the next meeting</w:t>
            </w:r>
          </w:p>
        </w:tc>
      </w:tr>
      <w:tr>
        <w:trPr>
          <w:cantSplit w:val="false"/>
        </w:trPr>
        <w:tc>
          <w:tcPr>
            <w:tcW w:type="dxa" w:w="467"/>
            <w:tcBorders/>
            <w:shd w:fill="auto" w:val="clear"/>
            <w:tcMar>
              <w:top w:type="dxa" w:w="0"/>
              <w:left w:type="dxa" w:w="108"/>
              <w:bottom w:type="dxa" w:w="0"/>
              <w:right w:type="dxa" w:w="108"/>
            </w:tcMar>
          </w:tcPr>
          <w:p>
            <w:pPr>
              <w:pStyle w:val="style0"/>
            </w:pPr>
            <w:r>
              <w:rPr>
                <w:rFonts w:ascii="Arial" w:cs="Arial" w:hAnsi="Arial"/>
              </w:rPr>
              <w:t>2.</w:t>
            </w:r>
          </w:p>
        </w:tc>
        <w:tc>
          <w:tcPr>
            <w:tcW w:type="dxa" w:w="6994"/>
            <w:tcBorders/>
            <w:shd w:fill="auto" w:val="clear"/>
            <w:tcMar>
              <w:top w:type="dxa" w:w="0"/>
              <w:left w:type="dxa" w:w="108"/>
              <w:bottom w:type="dxa" w:w="0"/>
              <w:right w:type="dxa" w:w="108"/>
            </w:tcMar>
          </w:tcPr>
          <w:p>
            <w:pPr>
              <w:pStyle w:val="style0"/>
            </w:pPr>
            <w:r>
              <w:rPr>
                <w:rFonts w:ascii="Arial" w:cs="Arial" w:hAnsi="Arial"/>
                <w:b/>
              </w:rPr>
              <w:t>Action Plan Updates</w:t>
            </w:r>
          </w:p>
          <w:p>
            <w:pPr>
              <w:pStyle w:val="style0"/>
            </w:pPr>
            <w:r>
              <w:rPr>
                <w:rFonts w:ascii="Arial" w:cs="Arial" w:hAnsi="Arial"/>
                <w:b/>
              </w:rPr>
              <w:t xml:space="preserve"> </w:t>
            </w:r>
          </w:p>
          <w:p>
            <w:pPr>
              <w:pStyle w:val="style0"/>
            </w:pPr>
            <w:r>
              <w:rPr>
                <w:rFonts w:ascii="Arial" w:cs="Arial" w:hAnsi="Arial"/>
                <w:b/>
                <w:sz w:val="22"/>
                <w:szCs w:val="22"/>
              </w:rPr>
              <w:t xml:space="preserve">Accommodation </w:t>
            </w:r>
          </w:p>
          <w:p>
            <w:pPr>
              <w:pStyle w:val="style0"/>
            </w:pPr>
            <w:r>
              <w:rPr>
                <w:rFonts w:ascii="Arial" w:cs="Arial" w:hAnsi="Arial"/>
                <w:b/>
              </w:rPr>
            </w:r>
          </w:p>
          <w:p>
            <w:pPr>
              <w:pStyle w:val="style0"/>
            </w:pPr>
            <w:r>
              <w:rPr>
                <w:rFonts w:ascii="Arial" w:cs="Arial" w:hAnsi="Arial"/>
                <w:sz w:val="22"/>
                <w:szCs w:val="22"/>
              </w:rPr>
              <w:t>CG presented the following update:-</w:t>
            </w:r>
          </w:p>
          <w:p>
            <w:pPr>
              <w:pStyle w:val="style0"/>
            </w:pPr>
            <w:r>
              <w:rPr>
                <w:rFonts w:ascii="Arial" w:cs="Arial" w:hAnsi="Arial"/>
                <w:sz w:val="22"/>
                <w:szCs w:val="22"/>
              </w:rPr>
            </w:r>
          </w:p>
          <w:p>
            <w:pPr>
              <w:pStyle w:val="style0"/>
            </w:pPr>
            <w:r>
              <w:rPr>
                <w:rFonts w:ascii="Arial" w:cs="Arial" w:hAnsi="Arial"/>
                <w:sz w:val="22"/>
                <w:szCs w:val="22"/>
              </w:rPr>
              <w:t xml:space="preserve">We are now required to consider the needs of GRT communities in the same way as settled communities i.e. looking at long term need.   </w:t>
            </w:r>
          </w:p>
          <w:p>
            <w:pPr>
              <w:pStyle w:val="style0"/>
            </w:pPr>
            <w:r>
              <w:rPr>
                <w:rFonts w:ascii="Arial" w:cs="Arial" w:hAnsi="Arial"/>
                <w:sz w:val="22"/>
                <w:szCs w:val="22"/>
              </w:rPr>
              <w:t>The proposed number of new pitches in the DPD is based on figures for unauthorised developments, however, there is concern around accuracy levels of the data. Current need is for more pitches in the North of the county especially for New Age Travellers.</w:t>
            </w:r>
          </w:p>
          <w:p>
            <w:pPr>
              <w:pStyle w:val="style0"/>
            </w:pPr>
            <w:r>
              <w:rPr>
                <w:rFonts w:ascii="Arial" w:cs="Arial" w:hAnsi="Arial"/>
                <w:sz w:val="22"/>
                <w:szCs w:val="22"/>
              </w:rPr>
            </w:r>
          </w:p>
          <w:p>
            <w:pPr>
              <w:pStyle w:val="style0"/>
              <w:numPr>
                <w:ilvl w:val="0"/>
                <w:numId w:val="1"/>
              </w:numPr>
              <w:ind w:hanging="0" w:left="0" w:right="0"/>
            </w:pPr>
            <w:r>
              <w:rPr>
                <w:rFonts w:ascii="Arial" w:cs="Arial" w:hAnsi="Arial"/>
                <w:sz w:val="22"/>
                <w:szCs w:val="22"/>
              </w:rPr>
              <w:t>(Reference: changes in Government policy -  Coalition Government has released the Draft National Planning Policy Statement  - consultation  period ends 17</w:t>
            </w:r>
            <w:r>
              <w:rPr>
                <w:rFonts w:ascii="Arial" w:cs="Arial" w:hAnsi="Arial"/>
                <w:sz w:val="22"/>
                <w:szCs w:val="22"/>
                <w:vertAlign w:val="superscript"/>
              </w:rPr>
              <w:t>th</w:t>
            </w:r>
            <w:r>
              <w:rPr>
                <w:rFonts w:ascii="Arial" w:cs="Arial" w:hAnsi="Arial"/>
                <w:sz w:val="22"/>
                <w:szCs w:val="22"/>
              </w:rPr>
              <w:t xml:space="preserve"> October 2011 see</w:t>
            </w:r>
          </w:p>
          <w:p>
            <w:pPr>
              <w:pStyle w:val="style0"/>
            </w:pPr>
            <w:hyperlink r:id="rId2">
              <w:r>
                <w:rPr>
                  <w:rStyle w:val="style18"/>
                  <w:rFonts w:ascii="Arial" w:cs="Arial" w:hAnsi="Arial"/>
                  <w:sz w:val="22"/>
                  <w:szCs w:val="22"/>
                </w:rPr>
                <w:t>National Planning Policy Framework - Planning, building and the environment - Department for Communities and Local Government</w:t>
              </w:r>
            </w:hyperlink>
            <w:r>
              <w:rPr>
                <w:rFonts w:ascii="Arial" w:cs="Arial" w:hAnsi="Arial"/>
                <w:sz w:val="22"/>
                <w:szCs w:val="22"/>
              </w:rPr>
              <w:t>)</w:t>
            </w:r>
          </w:p>
          <w:p>
            <w:pPr>
              <w:pStyle w:val="style0"/>
            </w:pPr>
            <w:r>
              <w:rPr>
                <w:rFonts w:ascii="Arial" w:cs="Arial" w:hAnsi="Arial"/>
                <w:sz w:val="22"/>
                <w:szCs w:val="22"/>
              </w:rPr>
            </w:r>
          </w:p>
          <w:p>
            <w:pPr>
              <w:pStyle w:val="style0"/>
            </w:pPr>
            <w:r>
              <w:rPr>
                <w:rFonts w:ascii="Arial" w:cs="Arial" w:hAnsi="Arial"/>
                <w:sz w:val="22"/>
                <w:szCs w:val="22"/>
              </w:rPr>
              <w:t xml:space="preserve">Ongoing consultation with GRT communities is planned either via the GRT forums and/or the newly developed residents associations for Council sites.  </w:t>
            </w:r>
          </w:p>
          <w:p>
            <w:pPr>
              <w:pStyle w:val="style0"/>
            </w:pPr>
            <w:r>
              <w:rPr>
                <w:rFonts w:ascii="Arial" w:cs="Arial" w:hAnsi="Arial"/>
                <w:sz w:val="22"/>
                <w:szCs w:val="22"/>
              </w:rPr>
              <w:t xml:space="preserve">  </w:t>
            </w:r>
          </w:p>
          <w:p>
            <w:pPr>
              <w:pStyle w:val="style0"/>
            </w:pPr>
            <w:r>
              <w:rPr>
                <w:rFonts w:ascii="Arial" w:cs="Arial" w:hAnsi="Arial"/>
                <w:sz w:val="22"/>
                <w:szCs w:val="22"/>
              </w:rPr>
              <w:t xml:space="preserve">LD provided an update regarding a funding bid to the HCA which, if successful, includes the development of new pitches.   There is also an amount of 250k which was previously bid for and not spent so this can provide match funding.  LD also referred to the Community Land Trust model which can provide a mechanism for GRT communities to move through the planning process  </w:t>
            </w:r>
          </w:p>
          <w:p>
            <w:pPr>
              <w:pStyle w:val="style0"/>
            </w:pPr>
            <w:r>
              <w:rPr>
                <w:rFonts w:ascii="Arial" w:cs="Arial" w:hAnsi="Arial"/>
                <w:sz w:val="22"/>
                <w:szCs w:val="22"/>
              </w:rPr>
            </w:r>
          </w:p>
          <w:p>
            <w:pPr>
              <w:pStyle w:val="style0"/>
            </w:pPr>
            <w:r>
              <w:rPr>
                <w:rFonts w:ascii="Arial" w:cs="Arial" w:hAnsi="Arial"/>
                <w:sz w:val="22"/>
                <w:szCs w:val="22"/>
              </w:rPr>
              <w:t>The group also discussed the fact that Planning should be represented on the group.</w:t>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b/>
                <w:sz w:val="22"/>
                <w:szCs w:val="22"/>
              </w:rPr>
              <w:t>Knowledge and information</w:t>
            </w:r>
          </w:p>
          <w:p>
            <w:pPr>
              <w:pStyle w:val="style0"/>
            </w:pPr>
            <w:r>
              <w:rPr>
                <w:rFonts w:ascii="Arial" w:cs="Arial" w:hAnsi="Arial"/>
                <w:b/>
                <w:sz w:val="22"/>
                <w:szCs w:val="22"/>
              </w:rPr>
            </w:r>
          </w:p>
          <w:p>
            <w:pPr>
              <w:pStyle w:val="style0"/>
            </w:pPr>
            <w:r>
              <w:rPr>
                <w:rFonts w:ascii="Arial" w:cs="Arial" w:hAnsi="Arial"/>
                <w:sz w:val="22"/>
                <w:szCs w:val="22"/>
              </w:rPr>
              <w:t xml:space="preserve">PH has produced an updated version of the information leaflet for GRT communities   </w:t>
            </w:r>
          </w:p>
          <w:p>
            <w:pPr>
              <w:pStyle w:val="style0"/>
            </w:pPr>
            <w:r>
              <w:rPr>
                <w:rFonts w:ascii="Arial" w:cs="Arial" w:hAnsi="Arial"/>
                <w:sz w:val="22"/>
                <w:szCs w:val="22"/>
              </w:rPr>
            </w:r>
          </w:p>
          <w:p>
            <w:pPr>
              <w:pStyle w:val="style0"/>
              <w:numPr>
                <w:ilvl w:val="0"/>
                <w:numId w:val="1"/>
              </w:numPr>
              <w:ind w:hanging="0" w:left="0" w:right="0"/>
            </w:pPr>
            <w:r>
              <w:rPr>
                <w:rFonts w:ascii="Arial" w:cs="Arial" w:hAnsi="Arial"/>
                <w:b/>
                <w:sz w:val="22"/>
                <w:szCs w:val="22"/>
              </w:rPr>
              <w:t>Community Engagement</w:t>
            </w:r>
          </w:p>
          <w:p>
            <w:pPr>
              <w:pStyle w:val="style0"/>
              <w:numPr>
                <w:ilvl w:val="0"/>
                <w:numId w:val="1"/>
              </w:numPr>
              <w:ind w:hanging="0" w:left="0" w:right="0"/>
            </w:pPr>
            <w:r>
              <w:rPr>
                <w:rFonts w:ascii="Arial" w:cs="Arial" w:hAnsi="Arial"/>
                <w:sz w:val="22"/>
                <w:szCs w:val="22"/>
              </w:rPr>
            </w:r>
          </w:p>
          <w:p>
            <w:pPr>
              <w:pStyle w:val="style0"/>
              <w:numPr>
                <w:ilvl w:val="0"/>
                <w:numId w:val="1"/>
              </w:numPr>
              <w:ind w:hanging="0" w:left="0" w:right="0"/>
            </w:pPr>
            <w:r>
              <w:rPr>
                <w:rFonts w:ascii="Arial" w:cs="Arial" w:hAnsi="Arial"/>
                <w:sz w:val="22"/>
                <w:szCs w:val="22"/>
              </w:rPr>
              <w:t>The group discussed the training needs of Members especially for those who do not have GRT communities in their area as they may be “disengaged” from the agenda.</w:t>
            </w:r>
          </w:p>
          <w:p>
            <w:pPr>
              <w:pStyle w:val="style0"/>
              <w:numPr>
                <w:ilvl w:val="0"/>
                <w:numId w:val="1"/>
              </w:numPr>
              <w:ind w:hanging="0" w:left="0" w:right="0"/>
            </w:pPr>
            <w:r>
              <w:rPr>
                <w:rFonts w:ascii="Arial" w:cs="Arial" w:hAnsi="Arial"/>
              </w:rPr>
              <w:t xml:space="preserve">  </w:t>
            </w:r>
          </w:p>
          <w:p>
            <w:pPr>
              <w:pStyle w:val="style0"/>
            </w:pPr>
            <w:r>
              <w:rPr>
                <w:rFonts w:ascii="Arial" w:cs="Arial" w:hAnsi="Arial"/>
                <w:b/>
                <w:sz w:val="22"/>
                <w:szCs w:val="22"/>
              </w:rPr>
              <w:t xml:space="preserve">Health, Education and Safer Communities </w:t>
            </w:r>
          </w:p>
          <w:p>
            <w:pPr>
              <w:pStyle w:val="style0"/>
            </w:pPr>
            <w:r>
              <w:rPr>
                <w:rFonts w:ascii="Arial" w:cs="Arial" w:hAnsi="Arial"/>
                <w:b/>
                <w:sz w:val="22"/>
                <w:szCs w:val="22"/>
              </w:rPr>
            </w:r>
          </w:p>
          <w:p>
            <w:pPr>
              <w:pStyle w:val="style29"/>
              <w:numPr>
                <w:ilvl w:val="0"/>
                <w:numId w:val="1"/>
              </w:numPr>
              <w:ind w:hanging="0" w:left="0" w:right="0"/>
            </w:pPr>
            <w:r>
              <w:rPr>
                <w:rFonts w:ascii="Arial" w:cs="Arial" w:hAnsi="Arial"/>
                <w:sz w:val="22"/>
                <w:szCs w:val="22"/>
              </w:rPr>
              <w:t xml:space="preserve">Nicole Powell and Wendy Atkinson of TES gave updates on their education role and outreach work with GRT families. TES now has reduced resources with only 6 part time staff so the focus is work with schools as opposed to on site.  There is also potential further risk in terms of the academy model as schools may choose to reduce their funding. </w:t>
            </w:r>
          </w:p>
          <w:p>
            <w:pPr>
              <w:pStyle w:val="style29"/>
              <w:numPr>
                <w:ilvl w:val="0"/>
                <w:numId w:val="1"/>
              </w:numPr>
              <w:ind w:hanging="0" w:left="0" w:right="0"/>
            </w:pPr>
            <w:r>
              <w:rPr>
                <w:rFonts w:ascii="Arial" w:cs="Arial" w:hAnsi="Arial"/>
              </w:rPr>
            </w:r>
          </w:p>
        </w:tc>
        <w:tc>
          <w:tcPr>
            <w:tcW w:type="dxa" w:w="2392"/>
            <w:tcBorders/>
            <w:shd w:fill="auto" w:val="clear"/>
            <w:tcMar>
              <w:top w:type="dxa" w:w="0"/>
              <w:left w:type="dxa" w:w="108"/>
              <w:bottom w:type="dxa" w:w="0"/>
              <w:right w:type="dxa" w:w="108"/>
            </w:tcMar>
          </w:tcPr>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sz w:val="22"/>
                <w:szCs w:val="22"/>
              </w:rPr>
              <w:t xml:space="preserve">CG to circulate the last housing/planning briefing  </w:t>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sz w:val="22"/>
                <w:szCs w:val="22"/>
              </w:rPr>
              <w:t>NL’s team to produce a Member briefing re: bid</w:t>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t>NL to check with Brad Fleet.</w:t>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t xml:space="preserve">NL’s team to lead on a communication strategy to ensure information is fully accessible  </w:t>
            </w:r>
          </w:p>
          <w:p>
            <w:pPr>
              <w:pStyle w:val="style0"/>
              <w:ind w:hanging="0" w:left="360" w:right="0"/>
            </w:pPr>
            <w:r>
              <w:rPr>
                <w:rFonts w:ascii="Arial" w:cs="Arial" w:hAnsi="Arial"/>
              </w:rPr>
            </w:r>
          </w:p>
          <w:p>
            <w:pPr>
              <w:pStyle w:val="style0"/>
              <w:ind w:hanging="0" w:left="360" w:right="0"/>
            </w:pPr>
            <w:r>
              <w:rPr>
                <w:rFonts w:ascii="Arial" w:cs="Arial" w:hAnsi="Arial"/>
              </w:rPr>
            </w:r>
          </w:p>
          <w:p>
            <w:pPr>
              <w:pStyle w:val="style0"/>
              <w:ind w:hanging="0" w:left="360" w:right="0"/>
            </w:pPr>
            <w:r>
              <w:rPr>
                <w:rFonts w:ascii="Arial" w:cs="Arial" w:hAnsi="Arial"/>
              </w:rPr>
            </w:r>
          </w:p>
          <w:p>
            <w:pPr>
              <w:pStyle w:val="style0"/>
              <w:ind w:hanging="0" w:left="360" w:right="0"/>
            </w:pPr>
            <w:r>
              <w:rPr>
                <w:rFonts w:ascii="Arial" w:cs="Arial" w:hAnsi="Arial"/>
              </w:rPr>
            </w:r>
          </w:p>
          <w:p>
            <w:pPr>
              <w:pStyle w:val="style0"/>
              <w:ind w:hanging="0" w:left="360" w:right="0"/>
            </w:pPr>
            <w:r>
              <w:rPr>
                <w:rFonts w:ascii="Arial" w:cs="Arial" w:hAnsi="Arial"/>
              </w:rPr>
            </w:r>
          </w:p>
          <w:p>
            <w:pPr>
              <w:pStyle w:val="style0"/>
              <w:ind w:hanging="0" w:left="360" w:right="0"/>
            </w:pPr>
            <w:r>
              <w:rPr>
                <w:rFonts w:ascii="Arial" w:cs="Arial" w:hAnsi="Arial"/>
              </w:rPr>
            </w:r>
          </w:p>
          <w:p>
            <w:pPr>
              <w:pStyle w:val="style0"/>
              <w:ind w:hanging="0" w:left="360" w:right="0"/>
            </w:pPr>
            <w:r>
              <w:rPr>
                <w:rFonts w:ascii="Arial" w:cs="Arial" w:hAnsi="Arial"/>
                <w:sz w:val="22"/>
                <w:szCs w:val="22"/>
              </w:rPr>
            </w:r>
          </w:p>
        </w:tc>
      </w:tr>
      <w:tr>
        <w:trPr>
          <w:cantSplit w:val="false"/>
        </w:trPr>
        <w:tc>
          <w:tcPr>
            <w:tcW w:type="dxa" w:w="467"/>
            <w:tcBorders/>
            <w:shd w:fill="auto" w:val="clear"/>
            <w:tcMar>
              <w:top w:type="dxa" w:w="0"/>
              <w:left w:type="dxa" w:w="108"/>
              <w:bottom w:type="dxa" w:w="0"/>
              <w:right w:type="dxa" w:w="108"/>
            </w:tcMar>
          </w:tcPr>
          <w:p>
            <w:pPr>
              <w:pStyle w:val="style0"/>
            </w:pPr>
            <w:r>
              <w:rPr>
                <w:rFonts w:ascii="Arial" w:cs="Arial" w:hAnsi="Arial"/>
              </w:rPr>
              <w:t>3.</w:t>
            </w:r>
          </w:p>
        </w:tc>
        <w:tc>
          <w:tcPr>
            <w:tcW w:type="dxa" w:w="6994"/>
            <w:tcBorders/>
            <w:shd w:fill="auto" w:val="clear"/>
            <w:tcMar>
              <w:top w:type="dxa" w:w="0"/>
              <w:left w:type="dxa" w:w="108"/>
              <w:bottom w:type="dxa" w:w="0"/>
              <w:right w:type="dxa" w:w="108"/>
            </w:tcMar>
          </w:tcPr>
          <w:p>
            <w:pPr>
              <w:pStyle w:val="style0"/>
            </w:pPr>
            <w:r>
              <w:rPr>
                <w:rFonts w:ascii="Arial" w:cs="Arial" w:hAnsi="Arial"/>
                <w:b/>
              </w:rPr>
              <w:t>Update on Internal Audit</w:t>
            </w:r>
          </w:p>
          <w:p>
            <w:pPr>
              <w:pStyle w:val="style0"/>
            </w:pPr>
            <w:r>
              <w:rPr>
                <w:rFonts w:ascii="Arial" w:cs="Arial" w:hAnsi="Arial"/>
                <w:b/>
                <w:sz w:val="22"/>
                <w:szCs w:val="22"/>
              </w:rPr>
            </w:r>
          </w:p>
          <w:p>
            <w:pPr>
              <w:pStyle w:val="style0"/>
            </w:pPr>
            <w:r>
              <w:rPr>
                <w:rFonts w:ascii="Arial" w:cs="Arial" w:hAnsi="Arial"/>
                <w:sz w:val="22"/>
                <w:szCs w:val="22"/>
              </w:rPr>
              <w:t xml:space="preserve">Audit Team thanked for their investigation.  Graham Hogg gave information on the background to the Housing quality audit and the Internal Audit of Traveller Services plus the restructuring of the enforcement team and the merging of housing management with GRT site management.  </w:t>
            </w:r>
          </w:p>
          <w:p>
            <w:pPr>
              <w:pStyle w:val="style0"/>
            </w:pPr>
            <w:r>
              <w:rPr>
                <w:rFonts w:ascii="Arial" w:cs="Arial" w:hAnsi="Arial"/>
                <w:sz w:val="22"/>
                <w:szCs w:val="22"/>
              </w:rPr>
            </w:r>
          </w:p>
          <w:p>
            <w:pPr>
              <w:pStyle w:val="style0"/>
            </w:pPr>
            <w:r>
              <w:rPr>
                <w:rFonts w:ascii="Arial" w:cs="Arial" w:hAnsi="Arial"/>
                <w:sz w:val="22"/>
                <w:szCs w:val="22"/>
              </w:rPr>
              <w:t>ES summarised the findings of the audit report including the fact that capacity has been an ongoing issues with under-resourcing of GRT management in terms of a limited capital budget.  There was also found to be a lack of strategic direction and senior ownership.</w:t>
            </w:r>
          </w:p>
          <w:p>
            <w:pPr>
              <w:pStyle w:val="style0"/>
            </w:pPr>
            <w:r>
              <w:rPr>
                <w:rFonts w:ascii="Arial" w:cs="Arial" w:hAnsi="Arial"/>
                <w:sz w:val="22"/>
                <w:szCs w:val="22"/>
              </w:rPr>
            </w:r>
          </w:p>
          <w:p>
            <w:pPr>
              <w:pStyle w:val="style0"/>
            </w:pPr>
            <w:r>
              <w:rPr>
                <w:rFonts w:ascii="Arial" w:cs="Arial" w:hAnsi="Arial"/>
                <w:sz w:val="22"/>
                <w:szCs w:val="22"/>
              </w:rPr>
              <w:t xml:space="preserve">ES also suggested that we may wish to consider a joint unit for Traveller support in the future so that we can provide coherent service delivery.  The group discussed the potential conflict of interest between the enforcement and site management role.     </w:t>
            </w:r>
          </w:p>
          <w:p>
            <w:pPr>
              <w:pStyle w:val="style0"/>
            </w:pPr>
            <w:r>
              <w:rPr>
                <w:rFonts w:ascii="Arial" w:cs="Arial" w:hAnsi="Arial"/>
                <w:sz w:val="22"/>
                <w:szCs w:val="22"/>
              </w:rPr>
            </w:r>
          </w:p>
          <w:p>
            <w:pPr>
              <w:pStyle w:val="style0"/>
            </w:pPr>
            <w:r>
              <w:rPr>
                <w:rFonts w:ascii="Arial" w:cs="Arial" w:hAnsi="Arial"/>
                <w:sz w:val="22"/>
                <w:szCs w:val="22"/>
              </w:rPr>
              <w:t xml:space="preserve">The group agreed the internal audit could be used as the basis for a new revised action plan and a consideration of investment needs for the future. </w:t>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t xml:space="preserve">The group also discussed the fact that Property Services should take ownership of the sites as they should be treated in the same way as any other Council asset and therefore be part of the asset management plan. </w:t>
            </w:r>
          </w:p>
          <w:p>
            <w:pPr>
              <w:pStyle w:val="style0"/>
            </w:pPr>
            <w:r>
              <w:rPr>
                <w:rFonts w:ascii="Arial" w:cs="Arial" w:hAnsi="Arial"/>
                <w:sz w:val="22"/>
                <w:szCs w:val="22"/>
              </w:rPr>
            </w:r>
          </w:p>
          <w:p>
            <w:pPr>
              <w:pStyle w:val="style0"/>
            </w:pPr>
            <w:r>
              <w:rPr>
                <w:rFonts w:ascii="Arial" w:cs="Arial" w:hAnsi="Arial"/>
                <w:sz w:val="22"/>
                <w:szCs w:val="22"/>
              </w:rPr>
              <w:t xml:space="preserve">The group also discussed the short term maintenance needs in terms of the physical condition of the sites such as the amount of potential trip hazards due to poor surfacing.  The group agreed a site inspection team should be put together including the Housing repair team/inspectors, TLOs and LD for consultation with the residents re: their views on priority work required.  </w:t>
            </w:r>
          </w:p>
          <w:p>
            <w:pPr>
              <w:pStyle w:val="style0"/>
            </w:pPr>
            <w:r>
              <w:rPr>
                <w:rFonts w:ascii="Arial" w:cs="Arial" w:hAnsi="Arial"/>
                <w:sz w:val="22"/>
                <w:szCs w:val="22"/>
              </w:rPr>
            </w:r>
          </w:p>
        </w:tc>
        <w:tc>
          <w:tcPr>
            <w:tcW w:type="dxa" w:w="2392"/>
            <w:tcBorders/>
            <w:shd w:fill="auto" w:val="clear"/>
            <w:tcMar>
              <w:top w:type="dxa" w:w="0"/>
              <w:left w:type="dxa" w:w="108"/>
              <w:bottom w:type="dxa" w:w="0"/>
              <w:right w:type="dxa" w:w="108"/>
            </w:tcMar>
          </w:tcPr>
          <w:p>
            <w:pPr>
              <w:pStyle w:val="style0"/>
            </w:pPr>
            <w:r>
              <w:rPr>
                <w:rFonts w:ascii="Arial" w:cs="Arial" w:hAnsi="Arial"/>
              </w:rPr>
            </w:r>
          </w:p>
          <w:p>
            <w:pPr>
              <w:pStyle w:val="style0"/>
            </w:pPr>
            <w:r>
              <w:rPr>
                <w:rFonts w:ascii="Arial" w:cs="Arial" w:hAnsi="Arial"/>
              </w:rPr>
            </w:r>
          </w:p>
          <w:p>
            <w:pPr>
              <w:pStyle w:val="style0"/>
            </w:pPr>
            <w:r>
              <w:rPr>
                <w:rFonts w:ascii="Arial" w:cs="Arial" w:hAnsi="Arial"/>
                <w:sz w:val="22"/>
                <w:szCs w:val="22"/>
              </w:rPr>
              <w:t xml:space="preserve">NL’s team to lead on a draft response to the Internal Audit </w:t>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r>
          </w:p>
          <w:p>
            <w:pPr>
              <w:pStyle w:val="style0"/>
            </w:pPr>
            <w:r>
              <w:rPr>
                <w:rFonts w:ascii="Arial" w:cs="Arial" w:hAnsi="Arial"/>
                <w:sz w:val="22"/>
                <w:szCs w:val="22"/>
              </w:rPr>
              <w:t>GH to co-ordinate production of a business plan to include income generation and recovery for the longer term</w:t>
            </w:r>
          </w:p>
          <w:p>
            <w:pPr>
              <w:pStyle w:val="style0"/>
            </w:pPr>
            <w:r>
              <w:rPr>
                <w:rFonts w:ascii="Arial" w:cs="Arial" w:hAnsi="Arial"/>
                <w:sz w:val="22"/>
                <w:szCs w:val="22"/>
              </w:rPr>
            </w:r>
          </w:p>
          <w:p>
            <w:pPr>
              <w:pStyle w:val="style0"/>
            </w:pPr>
            <w:r>
              <w:rPr>
                <w:rFonts w:ascii="Arial" w:cs="Arial" w:hAnsi="Arial"/>
                <w:sz w:val="22"/>
                <w:szCs w:val="22"/>
              </w:rPr>
              <w:t xml:space="preserve"> </w:t>
            </w:r>
            <w:r>
              <w:rPr>
                <w:rFonts w:ascii="Arial" w:cs="Arial" w:hAnsi="Arial"/>
                <w:sz w:val="22"/>
                <w:szCs w:val="22"/>
              </w:rPr>
              <w:t>Cllr Sturgis to discuss with Neil Ward</w:t>
            </w:r>
          </w:p>
          <w:p>
            <w:pPr>
              <w:pStyle w:val="style0"/>
            </w:pPr>
            <w:r>
              <w:rPr>
                <w:rFonts w:ascii="Arial" w:cs="Arial" w:hAnsi="Arial"/>
              </w:rPr>
            </w:r>
          </w:p>
          <w:p>
            <w:pPr>
              <w:pStyle w:val="style0"/>
            </w:pPr>
            <w:r>
              <w:rPr>
                <w:rFonts w:ascii="Arial" w:cs="Arial" w:hAnsi="Arial"/>
                <w:sz w:val="22"/>
                <w:szCs w:val="22"/>
              </w:rPr>
            </w:r>
          </w:p>
          <w:p>
            <w:pPr>
              <w:pStyle w:val="style0"/>
            </w:pPr>
            <w:r>
              <w:rPr>
                <w:rFonts w:ascii="Arial" w:cs="Arial" w:hAnsi="Arial"/>
                <w:sz w:val="22"/>
                <w:szCs w:val="22"/>
              </w:rPr>
              <w:t>GH to coordinate a programme of site visits to check need and prioritise actions</w:t>
            </w:r>
          </w:p>
          <w:p>
            <w:pPr>
              <w:pStyle w:val="style0"/>
            </w:pPr>
            <w:r>
              <w:rPr>
                <w:rFonts w:ascii="Arial" w:cs="Arial" w:hAnsi="Arial"/>
              </w:rPr>
            </w:r>
          </w:p>
          <w:p>
            <w:pPr>
              <w:pStyle w:val="style0"/>
            </w:pPr>
            <w:r>
              <w:rPr>
                <w:rFonts w:ascii="Arial" w:cs="Arial" w:hAnsi="Arial"/>
                <w:sz w:val="22"/>
                <w:szCs w:val="22"/>
              </w:rPr>
              <w:t xml:space="preserve"> </w:t>
            </w:r>
          </w:p>
        </w:tc>
      </w:tr>
      <w:tr>
        <w:trPr>
          <w:cantSplit w:val="false"/>
        </w:trPr>
        <w:tc>
          <w:tcPr>
            <w:tcW w:type="dxa" w:w="467"/>
            <w:tcBorders/>
            <w:shd w:fill="auto" w:val="clear"/>
            <w:tcMar>
              <w:top w:type="dxa" w:w="0"/>
              <w:left w:type="dxa" w:w="108"/>
              <w:bottom w:type="dxa" w:w="0"/>
              <w:right w:type="dxa" w:w="108"/>
            </w:tcMar>
          </w:tcPr>
          <w:p>
            <w:pPr>
              <w:pStyle w:val="style0"/>
            </w:pPr>
            <w:r>
              <w:rPr>
                <w:rFonts w:ascii="Arial" w:cs="Arial" w:hAnsi="Arial"/>
              </w:rPr>
              <w:t>6.</w:t>
            </w:r>
          </w:p>
        </w:tc>
        <w:tc>
          <w:tcPr>
            <w:tcW w:type="dxa" w:w="6994"/>
            <w:tcBorders/>
            <w:shd w:fill="auto" w:val="clear"/>
            <w:tcMar>
              <w:top w:type="dxa" w:w="0"/>
              <w:left w:type="dxa" w:w="108"/>
              <w:bottom w:type="dxa" w:w="0"/>
              <w:right w:type="dxa" w:w="108"/>
            </w:tcMar>
          </w:tcPr>
          <w:p>
            <w:pPr>
              <w:pStyle w:val="style0"/>
            </w:pPr>
            <w:r>
              <w:rPr>
                <w:rFonts w:ascii="Arial" w:cs="Arial" w:hAnsi="Arial"/>
                <w:b/>
                <w:sz w:val="22"/>
                <w:szCs w:val="22"/>
              </w:rPr>
              <w:t>Any other business</w:t>
            </w:r>
          </w:p>
          <w:p>
            <w:pPr>
              <w:pStyle w:val="style0"/>
            </w:pPr>
            <w:r>
              <w:rPr>
                <w:rFonts w:ascii="Arial" w:cs="Arial" w:hAnsi="Arial"/>
                <w:b/>
                <w:sz w:val="22"/>
                <w:szCs w:val="22"/>
              </w:rPr>
            </w:r>
          </w:p>
          <w:p>
            <w:pPr>
              <w:pStyle w:val="style29"/>
              <w:numPr>
                <w:ilvl w:val="0"/>
                <w:numId w:val="2"/>
              </w:numPr>
            </w:pPr>
            <w:r>
              <w:rPr>
                <w:rFonts w:ascii="Arial" w:cs="Arial" w:hAnsi="Arial"/>
                <w:sz w:val="22"/>
                <w:szCs w:val="22"/>
              </w:rPr>
              <w:t>Request for up-to-date list of sites to be circulated.</w:t>
            </w:r>
          </w:p>
          <w:p>
            <w:pPr>
              <w:pStyle w:val="style29"/>
              <w:numPr>
                <w:ilvl w:val="0"/>
                <w:numId w:val="2"/>
              </w:numPr>
            </w:pPr>
            <w:r>
              <w:rPr>
                <w:rFonts w:ascii="Arial" w:cs="Arial" w:hAnsi="Arial"/>
                <w:sz w:val="22"/>
                <w:szCs w:val="22"/>
              </w:rPr>
              <w:t>Request for the needs of boating communities to be discussed at the next meeting</w:t>
            </w:r>
          </w:p>
          <w:p>
            <w:pPr>
              <w:pStyle w:val="style29"/>
              <w:numPr>
                <w:ilvl w:val="0"/>
                <w:numId w:val="2"/>
              </w:numPr>
            </w:pPr>
            <w:r>
              <w:rPr>
                <w:rFonts w:ascii="Arial" w:cs="Arial" w:hAnsi="Arial"/>
                <w:sz w:val="22"/>
                <w:szCs w:val="22"/>
              </w:rPr>
              <w:t>Request for the needs of New Age Travellers to be on the next agenda (look at good practice from Somerset and Dorset)</w:t>
            </w:r>
          </w:p>
          <w:p>
            <w:pPr>
              <w:pStyle w:val="style29"/>
              <w:numPr>
                <w:ilvl w:val="0"/>
                <w:numId w:val="2"/>
              </w:numPr>
            </w:pPr>
            <w:r>
              <w:rPr>
                <w:rFonts w:ascii="Arial" w:cs="Arial" w:hAnsi="Arial"/>
                <w:sz w:val="22"/>
                <w:szCs w:val="22"/>
              </w:rPr>
              <w:t>SG confirmed the legal team would be happy to advise on legal risks as required</w:t>
            </w:r>
          </w:p>
        </w:tc>
        <w:tc>
          <w:tcPr>
            <w:tcW w:type="dxa" w:w="2392"/>
            <w:tcBorders/>
            <w:shd w:fill="auto" w:val="clear"/>
            <w:tcMar>
              <w:top w:type="dxa" w:w="0"/>
              <w:left w:type="dxa" w:w="108"/>
              <w:bottom w:type="dxa" w:w="0"/>
              <w:right w:type="dxa" w:w="108"/>
            </w:tcMar>
          </w:tcPr>
          <w:p>
            <w:pPr>
              <w:pStyle w:val="style0"/>
            </w:pPr>
            <w:r>
              <w:rPr>
                <w:rFonts w:ascii="Arial" w:cs="Arial" w:hAnsi="Arial"/>
              </w:rPr>
            </w:r>
          </w:p>
          <w:p>
            <w:pPr>
              <w:pStyle w:val="style0"/>
            </w:pPr>
            <w:r>
              <w:rPr>
                <w:rFonts w:ascii="Arial" w:cs="Arial" w:hAnsi="Arial"/>
                <w:sz w:val="22"/>
                <w:szCs w:val="22"/>
              </w:rPr>
            </w:r>
          </w:p>
          <w:p>
            <w:pPr>
              <w:pStyle w:val="style0"/>
            </w:pPr>
            <w:r>
              <w:rPr>
                <w:rFonts w:ascii="Arial" w:cs="Arial" w:hAnsi="Arial"/>
                <w:sz w:val="22"/>
                <w:szCs w:val="22"/>
              </w:rPr>
              <w:t>DT</w:t>
            </w:r>
          </w:p>
          <w:p>
            <w:pPr>
              <w:pStyle w:val="style0"/>
            </w:pPr>
            <w:r>
              <w:rPr>
                <w:rFonts w:ascii="Arial" w:cs="Arial" w:hAnsi="Arial"/>
                <w:sz w:val="22"/>
                <w:szCs w:val="22"/>
              </w:rPr>
              <w:t>KO</w:t>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tc>
      </w:tr>
    </w:tbl>
    <w:p>
      <w:pPr>
        <w:pStyle w:val="style0"/>
      </w:pPr>
      <w:r>
        <w:rPr>
          <w:rFonts w:ascii="Arial" w:cs="Arial" w:hAnsi="Arial"/>
        </w:rPr>
      </w:r>
    </w:p>
    <w:p>
      <w:pPr>
        <w:pStyle w:val="style0"/>
      </w:pPr>
      <w:r>
        <w:rPr/>
      </w:r>
    </w:p>
    <w:sectPr>
      <w:footerReference r:id="rId3" w:type="even"/>
      <w:footerReference r:id="rId4" w:type="default"/>
      <w:type w:val="nextPage"/>
      <w:pgSz w:h="16838" w:w="11906"/>
      <w:pgMar w:bottom="1440" w:footer="709" w:gutter="0" w:header="0" w:left="1418" w:right="851" w:top="144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80"/>
    <w:family w:val="auto"/>
    <w:pitch w:val="default"/>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Page numbers</w:t>
    </w:r>
    <w:r>
      <w:fldChar w:fldCharType="end"/>
    </w:r>
    <w:pStyle w:val="style28"/>
    <w:pPr/>
  </w:p>
  <w:p>
    <w:pPr>
      <w:pStyle w:val="style2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Page numbers</w:t>
    </w:r>
    <w:r>
      <w:fldChar w:fldCharType="end"/>
    </w:r>
    <w:pStyle w:val="style28"/>
    <w:pPr/>
  </w:p>
  <w:p>
    <w:pPr>
      <w:pStyle w:val="style28"/>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GB" w:val="en-GB"/>
    </w:rPr>
  </w:style>
  <w:style w:styleId="style15" w:type="character">
    <w:name w:val="Default Paragraph Font"/>
    <w:next w:val="style15"/>
    <w:rPr/>
  </w:style>
  <w:style w:styleId="style16" w:type="character">
    <w:name w:val="Footer Char"/>
    <w:basedOn w:val="style15"/>
    <w:next w:val="style16"/>
    <w:rPr>
      <w:rFonts w:ascii="Times New Roman" w:cs="Times New Roman" w:eastAsia="Times New Roman" w:hAnsi="Times New Roman"/>
      <w:sz w:val="24"/>
      <w:szCs w:val="24"/>
      <w:lang w:eastAsia="en-GB"/>
    </w:rPr>
  </w:style>
  <w:style w:styleId="style17" w:type="character">
    <w:name w:val="page number"/>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Balloon Text Char"/>
    <w:basedOn w:val="style15"/>
    <w:next w:val="style19"/>
    <w:rPr>
      <w:rFonts w:ascii="Tahoma" w:cs="Tahoma" w:eastAsia="Times New Roman" w:hAnsi="Tahoma"/>
      <w:sz w:val="16"/>
      <w:szCs w:val="16"/>
      <w:lang w:eastAsia="en-GB"/>
    </w:rPr>
  </w:style>
  <w:style w:styleId="style20" w:type="character">
    <w:name w:val="FollowedHyperlink"/>
    <w:basedOn w:val="style15"/>
    <w:next w:val="style20"/>
    <w:rPr>
      <w:color w:val="800080"/>
      <w:u w:val="single"/>
    </w:rPr>
  </w:style>
  <w:style w:styleId="style21" w:type="character">
    <w:name w:val="ListLabel 1"/>
    <w:next w:val="style21"/>
    <w:rPr>
      <w:rFonts w:cs="Courier New"/>
    </w:rPr>
  </w:style>
  <w:style w:styleId="style22" w:type="character">
    <w:name w:val="ListLabel 2"/>
    <w:next w:val="style22"/>
    <w:rPr>
      <w:color w:val="00000A"/>
      <w:sz w:val="20"/>
    </w:rPr>
  </w:style>
  <w:style w:styleId="style23" w:type="paragraph">
    <w:name w:val="Heading"/>
    <w:basedOn w:val="style0"/>
    <w:next w:val="style24"/>
    <w:pPr>
      <w:keepNext/>
      <w:spacing w:after="120" w:before="240"/>
    </w:pPr>
    <w:rPr>
      <w:rFonts w:ascii="Liberation Sans" w:cs="DejaVu Sans" w:eastAsia="DejaVu Sans" w:hAnsi="Liberation Sans"/>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style>
  <w:style w:styleId="style26" w:type="paragraph">
    <w:name w:val="Caption"/>
    <w:basedOn w:val="style0"/>
    <w:next w:val="style26"/>
    <w:pPr>
      <w:suppressLineNumbers/>
      <w:spacing w:after="120" w:before="120"/>
    </w:pPr>
    <w:rPr>
      <w:i/>
      <w:iCs/>
      <w:sz w:val="24"/>
      <w:szCs w:val="24"/>
    </w:rPr>
  </w:style>
  <w:style w:styleId="style27" w:type="paragraph">
    <w:name w:val="Index"/>
    <w:basedOn w:val="style0"/>
    <w:next w:val="style27"/>
    <w:pPr>
      <w:suppressLineNumbers/>
    </w:pPr>
    <w:rPr/>
  </w:style>
  <w:style w:styleId="style28" w:type="paragraph">
    <w:name w:val="Footer"/>
    <w:basedOn w:val="style0"/>
    <w:next w:val="style28"/>
    <w:pPr>
      <w:suppressLineNumbers/>
      <w:tabs>
        <w:tab w:leader="none" w:pos="4153" w:val="center"/>
        <w:tab w:leader="none" w:pos="8306" w:val="right"/>
      </w:tabs>
    </w:pPr>
    <w:rPr/>
  </w:style>
  <w:style w:styleId="style29" w:type="paragraph">
    <w:name w:val="List Paragraph"/>
    <w:basedOn w:val="style0"/>
    <w:next w:val="style29"/>
    <w:pPr>
      <w:ind w:hanging="0" w:left="720" w:right="0"/>
    </w:pPr>
    <w:rPr/>
  </w:style>
  <w:style w:styleId="style30" w:type="paragraph">
    <w:name w:val="No Spacing"/>
    <w:next w:val="style30"/>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GB" w:val="en-GB"/>
    </w:rPr>
  </w:style>
  <w:style w:styleId="style31" w:type="paragraph">
    <w:name w:val="Balloon Text"/>
    <w:basedOn w:val="style0"/>
    <w:next w:val="style31"/>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munities.gov.uk/planningandbuilding/planningsystem/planningpolicy/planningpolicyframework"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2011-10-04T14:10:00.00Z</dcterms:created>
  <dc:creator>kamalita.kinshasa</dc:creator>
  <cp:lastModifiedBy>Sharon.Brookes</cp:lastModifiedBy>
  <dcterms:modified xsi:type="dcterms:W3CDTF">2011-10-05T09:30:00.00Z</dcterms:modified>
  <cp:revision>11</cp:revision>
</cp:coreProperties>
</file>